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4"/>
        <w:jc w:val="center"/>
        <w:rPr>
          <w:rFonts w:ascii="宋体" w:hAnsi="宋体" w:eastAsia="宋体" w:asciiTheme="minorEastAsia" w:eastAsiaTheme="minorEastAsia" w:hAnsiTheme="minorEastAsia"/>
          <w:sz w:val="48"/>
          <w:szCs w:val="72"/>
        </w:rPr>
      </w:pPr>
      <w:r>
        <w:rPr>
          <w:rFonts w:ascii="宋体" w:hAnsi="宋体" w:eastAsia="宋体" w:asciiTheme="minorEastAsia" w:eastAsiaTheme="minorEastAsia" w:hAnsiTheme="minorEastAsia"/>
          <w:sz w:val="48"/>
          <w:szCs w:val="72"/>
        </w:rPr>
        <w:t>租赁物业投标报价</w:t>
      </w:r>
      <w:r>
        <w:rPr>
          <w:rFonts w:ascii="宋体" w:hAnsi="宋体" w:eastAsia="宋体" w:asciiTheme="minorEastAsia" w:eastAsiaTheme="minorEastAsia" w:hAnsiTheme="minorEastAsia"/>
          <w:sz w:val="48"/>
          <w:szCs w:val="72"/>
          <w:lang w:val="en-US" w:eastAsia="zh-CN"/>
        </w:rPr>
        <w:t>表</w:t>
      </w:r>
      <w:r>
        <w:rPr>
          <w:rFonts w:ascii="宋体" w:hAnsi="宋体" w:eastAsia="宋体" w:asciiTheme="minorEastAsia" w:eastAsiaTheme="minorEastAsia" w:hAnsiTheme="minorEastAsia"/>
          <w:sz w:val="48"/>
          <w:szCs w:val="72"/>
        </w:rPr>
        <w:t xml:space="preserve"> </w:t>
      </w:r>
    </w:p>
    <w:p>
      <w:pPr>
        <w:pStyle w:val="Style14"/>
        <w:ind w:firstLine="270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eastAsia="仿宋_GB2312" w:cs="仿宋_GB2312" w:ascii="仿宋_GB2312" w:hAnsi="仿宋_GB2312"/>
          <w:sz w:val="36"/>
          <w:szCs w:val="36"/>
        </w:rPr>
      </w:r>
    </w:p>
    <w:p>
      <w:pPr>
        <w:pStyle w:val="Style14"/>
        <w:keepNext w:val="false"/>
        <w:keepLines w:val="false"/>
        <w:pageBreakBefore w:val="false"/>
        <w:widowControl/>
        <w:kinsoku w:val="true"/>
        <w:overflowPunct w:val="true"/>
        <w:bidi w:val="0"/>
        <w:snapToGrid w:val="false"/>
        <w:spacing w:lineRule="auto" w:line="240"/>
        <w:ind w:firstLineChars="200" w:firstLine="0"/>
        <w:textAlignment w:val="auto"/>
        <w:rPr>
          <w:rFonts w:ascii="仿宋_GB2312" w:hAnsi="仿宋_GB2312" w:eastAsia="仿宋_GB2312" w:cs="仿宋_GB2312"/>
          <w:spacing w:val="-34"/>
          <w:sz w:val="36"/>
          <w:szCs w:val="36"/>
          <w:u w:val="single"/>
          <w:lang w:eastAsia="zh-CN"/>
        </w:rPr>
      </w:pPr>
      <w:r>
        <w:rPr>
          <w:rFonts w:ascii="仿宋_GB2312" w:hAnsi="仿宋_GB2312" w:cs="仿宋_GB2312" w:eastAsia="仿宋_GB2312"/>
          <w:sz w:val="36"/>
          <w:szCs w:val="36"/>
        </w:rPr>
        <w:t>我方已充分了解拟承租物业现状、招租条件要求</w:t>
      </w:r>
      <w:bookmarkStart w:id="0" w:name="_GoBack"/>
      <w:bookmarkEnd w:id="0"/>
      <w:r>
        <w:rPr>
          <w:rFonts w:ascii="仿宋_GB2312" w:hAnsi="仿宋_GB2312" w:cs="仿宋_GB2312" w:eastAsia="仿宋_GB2312"/>
          <w:sz w:val="36"/>
          <w:szCs w:val="36"/>
        </w:rPr>
        <w:t>和租赁合同条款，同意参与湛江市湛汽汽车运输发展有限公司物业租赁</w:t>
      </w:r>
      <w:r>
        <w:rPr>
          <w:rFonts w:ascii="仿宋_GB2312" w:hAnsi="仿宋_GB2312" w:cs="仿宋_GB2312" w:eastAsia="仿宋_GB2312"/>
          <w:sz w:val="36"/>
          <w:szCs w:val="36"/>
          <w:lang w:val="en-US" w:eastAsia="zh-CN" w:bidi="ar-SA"/>
        </w:rPr>
        <w:t>投</w:t>
      </w:r>
      <w:r>
        <w:rPr>
          <w:rFonts w:ascii="仿宋_GB2312" w:hAnsi="仿宋_GB2312" w:cs="仿宋_GB2312" w:eastAsia="仿宋_GB2312"/>
          <w:sz w:val="36"/>
          <w:szCs w:val="36"/>
        </w:rPr>
        <w:t>标，</w:t>
      </w:r>
      <w:r>
        <w:rPr>
          <w:rFonts w:ascii="仿宋_GB2312" w:hAnsi="仿宋_GB2312" w:cs="仿宋_GB2312" w:eastAsia="仿宋_GB2312"/>
          <w:sz w:val="36"/>
          <w:szCs w:val="36"/>
          <w:lang w:val="en-US" w:eastAsia="zh-CN" w:bidi="ar-SA"/>
        </w:rPr>
        <w:t>标的</w:t>
      </w:r>
      <w:r>
        <w:rPr>
          <w:rFonts w:ascii="仿宋_GB2312" w:hAnsi="仿宋_GB2312" w:cs="仿宋_GB2312" w:eastAsia="仿宋_GB2312"/>
          <w:sz w:val="36"/>
          <w:szCs w:val="36"/>
        </w:rPr>
        <w:t>地址：</w:t>
      </w:r>
      <w:r>
        <w:rPr>
          <w:rFonts w:ascii="仿宋_GB2312" w:hAnsi="仿宋_GB2312" w:cs="仿宋_GB2312" w:eastAsia="仿宋_GB2312"/>
          <w:kern w:val="2"/>
          <w:sz w:val="36"/>
          <w:szCs w:val="36"/>
          <w:u w:val="single"/>
        </w:rPr>
        <w:t>湛江市赤坎区椹川大道</w:t>
      </w:r>
      <w:r>
        <w:rPr>
          <w:rFonts w:ascii="仿宋_GB2312" w:hAnsi="仿宋_GB2312" w:cs="仿宋_GB2312" w:eastAsia="仿宋_GB2312"/>
          <w:kern w:val="2"/>
          <w:sz w:val="36"/>
          <w:szCs w:val="36"/>
          <w:u w:val="single"/>
        </w:rPr>
        <w:t>北</w:t>
      </w:r>
      <w:r>
        <w:rPr>
          <w:rFonts w:eastAsia="仿宋_GB2312" w:cs="仿宋_GB2312" w:ascii="仿宋_GB2312" w:hAnsi="仿宋_GB2312"/>
          <w:kern w:val="2"/>
          <w:sz w:val="36"/>
          <w:szCs w:val="36"/>
          <w:u w:val="single"/>
        </w:rPr>
        <w:t>99</w:t>
      </w:r>
      <w:r>
        <w:rPr>
          <w:rFonts w:ascii="仿宋_GB2312" w:hAnsi="仿宋_GB2312" w:cs="仿宋_GB2312" w:eastAsia="仿宋_GB2312"/>
          <w:kern w:val="2"/>
          <w:sz w:val="36"/>
          <w:szCs w:val="36"/>
          <w:u w:val="single"/>
        </w:rPr>
        <w:t>号湛汽集团办公大楼停车</w:t>
      </w:r>
      <w:r>
        <w:rPr>
          <w:rFonts w:ascii="仿宋_GB2312" w:hAnsi="仿宋_GB2312" w:cs="仿宋_GB2312" w:eastAsia="仿宋_GB2312"/>
          <w:kern w:val="2"/>
          <w:sz w:val="36"/>
          <w:szCs w:val="36"/>
          <w:u w:val="single"/>
          <w:lang w:val="en-US" w:eastAsia="zh-CN" w:bidi="ar-SA"/>
        </w:rPr>
        <w:t>场</w:t>
      </w:r>
      <w:r>
        <w:rPr>
          <w:rFonts w:ascii="仿宋_GB2312" w:hAnsi="仿宋_GB2312" w:cs="仿宋_GB2312" w:eastAsia="仿宋_GB2312"/>
          <w:kern w:val="2"/>
          <w:sz w:val="36"/>
          <w:szCs w:val="36"/>
          <w:u w:val="single"/>
          <w:lang w:val="en-US" w:eastAsia="zh-CN"/>
        </w:rPr>
        <w:t xml:space="preserve">      ，</w:t>
      </w:r>
      <w:r>
        <w:rPr>
          <w:rFonts w:ascii="仿宋_GB2312" w:hAnsi="仿宋_GB2312" w:cs="仿宋_GB2312" w:eastAsia="仿宋_GB2312"/>
          <w:sz w:val="36"/>
          <w:szCs w:val="36"/>
          <w:lang w:val="en-US" w:eastAsia="zh-CN"/>
        </w:rPr>
        <w:t>数量</w:t>
      </w:r>
      <w:r>
        <w:rPr>
          <w:rFonts w:ascii="仿宋_GB2312" w:hAnsi="仿宋_GB2312" w:cs="仿宋_GB2312" w:eastAsia="仿宋_GB2312"/>
          <w:sz w:val="36"/>
          <w:szCs w:val="36"/>
        </w:rPr>
        <w:t>：</w:t>
      </w:r>
      <w:r>
        <w:rPr>
          <w:rFonts w:eastAsia="仿宋_GB2312" w:cs="仿宋_GB2312" w:ascii="仿宋_GB2312" w:hAnsi="仿宋_GB2312"/>
          <w:sz w:val="36"/>
          <w:szCs w:val="36"/>
          <w:u w:val="single"/>
          <w:lang w:val="en-US" w:eastAsia="zh-CN"/>
        </w:rPr>
        <w:t>10</w:t>
      </w:r>
      <w:r>
        <w:rPr>
          <w:rFonts w:ascii="仿宋_GB2312" w:hAnsi="仿宋_GB2312" w:cs="仿宋_GB2312" w:eastAsia="仿宋_GB2312"/>
          <w:sz w:val="36"/>
          <w:szCs w:val="36"/>
          <w:u w:val="single"/>
          <w:lang w:val="en-US" w:eastAsia="zh-CN"/>
        </w:rPr>
        <w:t>个</w:t>
      </w:r>
      <w:r>
        <w:rPr>
          <w:rFonts w:ascii="仿宋_GB2312" w:hAnsi="仿宋_GB2312" w:cs="仿宋_GB2312" w:eastAsia="仿宋_GB2312"/>
          <w:sz w:val="36"/>
          <w:szCs w:val="36"/>
          <w:lang w:val="en-US" w:eastAsia="zh-CN"/>
        </w:rPr>
        <w:t>充电停车位</w:t>
      </w:r>
      <w:r>
        <w:rPr>
          <w:rFonts w:ascii="仿宋_GB2312" w:hAnsi="仿宋_GB2312" w:cs="仿宋_GB2312" w:eastAsia="仿宋_GB2312"/>
          <w:spacing w:val="-34"/>
          <w:sz w:val="36"/>
          <w:szCs w:val="36"/>
        </w:rPr>
        <w:t>，现我方</w:t>
      </w:r>
      <w:r>
        <w:rPr>
          <w:rFonts w:ascii="仿宋_GB2312" w:hAnsi="仿宋_GB2312" w:cs="仿宋_GB2312" w:eastAsia="仿宋_GB2312"/>
          <w:spacing w:val="-34"/>
          <w:sz w:val="36"/>
          <w:szCs w:val="36"/>
          <w:lang w:val="en-US" w:eastAsia="zh-CN"/>
        </w:rPr>
        <w:t>愿意按以下填写的项目报价表</w:t>
      </w:r>
      <w:r>
        <w:rPr>
          <w:rFonts w:ascii="仿宋_GB2312" w:hAnsi="仿宋_GB2312" w:cs="仿宋_GB2312" w:eastAsia="仿宋_GB2312"/>
          <w:spacing w:val="-34"/>
          <w:sz w:val="36"/>
          <w:szCs w:val="36"/>
        </w:rPr>
        <w:t>承租该物业</w:t>
      </w:r>
      <w:r>
        <w:rPr>
          <w:rFonts w:ascii="仿宋_GB2312" w:hAnsi="仿宋_GB2312" w:cs="仿宋_GB2312" w:eastAsia="仿宋_GB2312"/>
          <w:spacing w:val="-34"/>
          <w:sz w:val="36"/>
          <w:szCs w:val="36"/>
          <w:lang w:eastAsia="zh-CN"/>
        </w:rPr>
        <w:t>。</w:t>
      </w:r>
    </w:p>
    <w:p>
      <w:pPr>
        <w:pStyle w:val="Style14"/>
        <w:keepNext w:val="false"/>
        <w:keepLines w:val="false"/>
        <w:pageBreakBefore w:val="false"/>
        <w:widowControl/>
        <w:kinsoku w:val="true"/>
        <w:overflowPunct w:val="true"/>
        <w:bidi w:val="0"/>
        <w:snapToGrid w:val="false"/>
        <w:spacing w:lineRule="auto" w:line="240"/>
        <w:ind w:firstLineChars="100" w:firstLine="0"/>
        <w:jc w:val="both"/>
        <w:textAlignment w:val="auto"/>
        <w:rPr>
          <w:rFonts w:ascii="仿宋_GB2312" w:hAnsi="仿宋_GB2312" w:eastAsia="仿宋_GB2312" w:cs="仿宋_GB2312"/>
          <w:position w:val="0"/>
          <w:sz w:val="36"/>
          <w:sz w:val="36"/>
          <w:szCs w:val="36"/>
          <w:u w:val="none"/>
          <w:vertAlign w:val="baseline"/>
          <w:lang w:val="en-US" w:eastAsia="zh-CN"/>
        </w:rPr>
      </w:pPr>
      <w:r>
        <w:rPr>
          <w:rFonts w:eastAsia="仿宋_GB2312" w:cs="仿宋_GB2312" w:ascii="仿宋_GB2312" w:hAnsi="仿宋_GB2312"/>
          <w:position w:val="0"/>
          <w:sz w:val="36"/>
          <w:sz w:val="36"/>
          <w:szCs w:val="36"/>
          <w:u w:val="none"/>
          <w:vertAlign w:val="baseline"/>
          <w:lang w:val="en-US" w:eastAsia="zh-CN"/>
        </w:rPr>
      </w:r>
    </w:p>
    <w:p>
      <w:pPr>
        <w:pStyle w:val="Style14"/>
        <w:keepNext w:val="false"/>
        <w:keepLines w:val="false"/>
        <w:pageBreakBefore w:val="false"/>
        <w:widowControl/>
        <w:kinsoku w:val="true"/>
        <w:overflowPunct w:val="true"/>
        <w:bidi w:val="0"/>
        <w:snapToGrid w:val="false"/>
        <w:spacing w:lineRule="auto" w:line="240"/>
        <w:textAlignment w:val="auto"/>
        <w:rPr>
          <w:rFonts w:ascii="仿宋_GB2312" w:hAnsi="仿宋_GB2312" w:eastAsia="仿宋_GB2312" w:cs="仿宋_GB2312"/>
          <w:position w:val="0"/>
          <w:sz w:val="22"/>
          <w:sz w:val="36"/>
          <w:szCs w:val="36"/>
          <w:u w:val="none"/>
          <w:vertAlign w:val="baseline"/>
          <w:lang w:val="en-US" w:eastAsia="zh-CN"/>
        </w:rPr>
      </w:pPr>
      <w:r>
        <w:rPr>
          <w:rFonts w:ascii="仿宋_GB2312" w:hAnsi="仿宋_GB2312" w:cs="仿宋_GB2312" w:eastAsia="仿宋_GB2312"/>
          <w:sz w:val="36"/>
          <w:szCs w:val="36"/>
          <w:u w:val="none"/>
          <w:lang w:val="en-US" w:eastAsia="zh-CN"/>
        </w:rPr>
        <w:t>附：</w:t>
      </w:r>
    </w:p>
    <w:tbl>
      <w:tblPr>
        <w:tblStyle w:val="5"/>
        <w:tblW w:w="8290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1391"/>
        <w:gridCol w:w="3450"/>
        <w:gridCol w:w="3449"/>
      </w:tblGrid>
      <w:tr>
        <w:trPr>
          <w:trHeight w:val="491" w:hRule="atLeast"/>
        </w:trPr>
        <w:tc>
          <w:tcPr>
            <w:tcW w:w="8290" w:type="dxa"/>
            <w:gridSpan w:val="3"/>
            <w:tcBorders/>
            <w:vAlign w:val="bottom"/>
          </w:tcPr>
          <w:p>
            <w:pPr>
              <w:pStyle w:val="Style14"/>
              <w:widowControl w:val="false"/>
              <w:spacing w:beforeLines="0" w:beforeAutospacing="0" w:after="200" w:afterAutospacing="0"/>
              <w:jc w:val="center"/>
              <w:rPr>
                <w:rFonts w:ascii="仿宋_GB2312" w:hAnsi="仿宋_GB2312" w:eastAsia="仿宋_GB2312" w:cs="仿宋_GB2312"/>
                <w:sz w:val="36"/>
                <w:szCs w:val="36"/>
                <w:lang w:val="en-US" w:eastAsia="zh-CN"/>
              </w:rPr>
            </w:pPr>
            <w:r>
              <w:rPr>
                <w:rFonts w:ascii="仿宋_GB2312" w:hAnsi="仿宋_GB2312" w:cs="仿宋_GB2312" w:eastAsia="仿宋_GB2312"/>
                <w:kern w:val="0"/>
                <w:sz w:val="36"/>
                <w:szCs w:val="36"/>
                <w:lang w:val="en-US" w:eastAsia="zh-CN"/>
              </w:rPr>
              <w:t>单位：</w:t>
            </w:r>
            <w:r>
              <w:rPr>
                <w:rFonts w:ascii="仿宋_GB2312" w:hAnsi="仿宋_GB2312" w:cs="仿宋_GB2312" w:eastAsia="仿宋_GB2312"/>
                <w:kern w:val="0"/>
                <w:sz w:val="36"/>
                <w:szCs w:val="36"/>
                <w:u w:val="single"/>
                <w:lang w:val="en-US" w:eastAsia="zh-CN"/>
              </w:rPr>
              <w:t xml:space="preserve">                              </w:t>
            </w:r>
            <w:r>
              <w:rPr>
                <w:rFonts w:ascii="仿宋_GB2312" w:hAnsi="仿宋_GB2312" w:cs="仿宋_GB2312" w:eastAsia="仿宋_GB2312"/>
                <w:kern w:val="0"/>
                <w:sz w:val="36"/>
                <w:szCs w:val="36"/>
                <w:lang w:val="en-US" w:eastAsia="zh-CN"/>
              </w:rPr>
              <w:t>项目报价表</w:t>
            </w:r>
          </w:p>
        </w:tc>
      </w:tr>
      <w:tr>
        <w:trPr/>
        <w:tc>
          <w:tcPr>
            <w:tcW w:w="1391" w:type="dxa"/>
            <w:tcBorders/>
            <w:vAlign w:val="bottom"/>
          </w:tcPr>
          <w:p>
            <w:pPr>
              <w:pStyle w:val="Style14"/>
              <w:widowControl w:val="false"/>
              <w:spacing w:beforeLines="0" w:beforeAutospacing="0" w:after="200" w:afterAutospacing="0"/>
              <w:jc w:val="center"/>
              <w:rPr>
                <w:rFonts w:ascii="仿宋_GB2312" w:hAnsi="仿宋_GB2312" w:eastAsia="仿宋_GB2312" w:cs="仿宋_GB2312"/>
                <w:sz w:val="36"/>
                <w:szCs w:val="36"/>
                <w:lang w:val="en-US" w:eastAsia="zh-CN"/>
              </w:rPr>
            </w:pPr>
            <w:r>
              <w:rPr>
                <w:rFonts w:ascii="仿宋_GB2312" w:hAnsi="仿宋_GB2312" w:cs="仿宋_GB2312" w:eastAsia="仿宋_GB2312"/>
                <w:kern w:val="0"/>
                <w:sz w:val="36"/>
                <w:szCs w:val="36"/>
                <w:lang w:val="en-US" w:eastAsia="zh-CN"/>
              </w:rPr>
              <w:t>序号</w:t>
            </w:r>
          </w:p>
        </w:tc>
        <w:tc>
          <w:tcPr>
            <w:tcW w:w="3450" w:type="dxa"/>
            <w:tcBorders/>
            <w:vAlign w:val="bottom"/>
          </w:tcPr>
          <w:p>
            <w:pPr>
              <w:pStyle w:val="Style14"/>
              <w:widowControl w:val="false"/>
              <w:spacing w:beforeLines="0" w:beforeAutospacing="0" w:after="200" w:afterAutospacing="0"/>
              <w:jc w:val="center"/>
              <w:rPr>
                <w:rFonts w:ascii="仿宋_GB2312" w:hAnsi="仿宋_GB2312" w:eastAsia="仿宋_GB2312" w:cs="仿宋_GB2312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ascii="仿宋_GB2312" w:hAnsi="仿宋_GB2312" w:cs="仿宋_GB2312" w:eastAsia="仿宋_GB2312"/>
                <w:kern w:val="0"/>
                <w:sz w:val="36"/>
                <w:szCs w:val="36"/>
                <w:lang w:val="en-US" w:eastAsia="zh-CN" w:bidi="ar-SA"/>
              </w:rPr>
              <w:t>充电服务费分成比例（</w:t>
            </w:r>
            <w:r>
              <w:rPr>
                <w:rFonts w:eastAsia="仿宋_GB2312" w:cs="仿宋_GB2312" w:ascii="仿宋_GB2312" w:hAnsi="仿宋_GB2312"/>
                <w:kern w:val="0"/>
                <w:sz w:val="36"/>
                <w:szCs w:val="36"/>
                <w:lang w:val="en-US" w:eastAsia="zh-CN" w:bidi="ar-SA"/>
              </w:rPr>
              <w:t>%</w:t>
            </w:r>
            <w:r>
              <w:rPr>
                <w:rFonts w:ascii="仿宋_GB2312" w:hAnsi="仿宋_GB2312" w:cs="仿宋_GB2312" w:eastAsia="仿宋_GB2312"/>
                <w:kern w:val="0"/>
                <w:sz w:val="36"/>
                <w:szCs w:val="36"/>
                <w:lang w:val="en-US" w:eastAsia="zh-CN" w:bidi="ar-SA"/>
              </w:rPr>
              <w:t>）</w:t>
            </w:r>
          </w:p>
        </w:tc>
        <w:tc>
          <w:tcPr>
            <w:tcW w:w="3449" w:type="dxa"/>
            <w:tcBorders/>
            <w:vAlign w:val="bottom"/>
          </w:tcPr>
          <w:p>
            <w:pPr>
              <w:pStyle w:val="Style14"/>
              <w:widowControl w:val="false"/>
              <w:spacing w:beforeLines="0" w:beforeAutospacing="0" w:after="200" w:afterAutospacing="0"/>
              <w:jc w:val="center"/>
              <w:rPr>
                <w:rFonts w:ascii="仿宋_GB2312" w:hAnsi="仿宋_GB2312" w:eastAsia="仿宋_GB2312" w:cs="仿宋_GB2312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ascii="仿宋_GB2312" w:hAnsi="仿宋_GB2312" w:cs="仿宋_GB2312" w:eastAsia="仿宋_GB2312"/>
                <w:kern w:val="0"/>
                <w:sz w:val="36"/>
                <w:szCs w:val="36"/>
                <w:lang w:val="en-US" w:eastAsia="zh-CN" w:bidi="ar-SA"/>
              </w:rPr>
              <w:t>备注</w:t>
            </w:r>
          </w:p>
        </w:tc>
      </w:tr>
      <w:tr>
        <w:trPr/>
        <w:tc>
          <w:tcPr>
            <w:tcW w:w="1391" w:type="dxa"/>
            <w:tcBorders/>
            <w:vAlign w:val="bottom"/>
          </w:tcPr>
          <w:p>
            <w:pPr>
              <w:pStyle w:val="Style14"/>
              <w:widowControl w:val="false"/>
              <w:spacing w:beforeLines="0" w:beforeAutospacing="0" w:after="200" w:afterAutospacing="0"/>
              <w:jc w:val="center"/>
              <w:rPr>
                <w:rFonts w:ascii="仿宋_GB2312" w:hAnsi="仿宋_GB2312" w:eastAsia="仿宋_GB2312" w:cs="仿宋_GB2312"/>
                <w:sz w:val="36"/>
                <w:szCs w:val="36"/>
                <w:lang w:val="en-US" w:eastAsia="zh-CN"/>
              </w:rPr>
            </w:pPr>
            <w:r>
              <w:rPr>
                <w:rFonts w:eastAsia="仿宋_GB2312" w:cs="仿宋_GB2312" w:ascii="仿宋_GB2312" w:hAnsi="仿宋_GB2312"/>
                <w:kern w:val="0"/>
                <w:sz w:val="36"/>
                <w:szCs w:val="36"/>
                <w:lang w:val="en-US" w:eastAsia="zh-CN"/>
              </w:rPr>
              <w:t>1</w:t>
            </w:r>
          </w:p>
        </w:tc>
        <w:tc>
          <w:tcPr>
            <w:tcW w:w="3450" w:type="dxa"/>
            <w:tcBorders/>
            <w:vAlign w:val="bottom"/>
          </w:tcPr>
          <w:p>
            <w:pPr>
              <w:pStyle w:val="Style14"/>
              <w:widowControl w:val="false"/>
              <w:spacing w:beforeLines="0" w:beforeAutospacing="0" w:after="200" w:afterAutospacing="0"/>
              <w:jc w:val="center"/>
              <w:rPr>
                <w:rFonts w:ascii="仿宋_GB2312" w:hAnsi="仿宋_GB2312" w:eastAsia="仿宋_GB2312" w:cs="仿宋_GB2312"/>
                <w:sz w:val="36"/>
                <w:szCs w:val="36"/>
                <w:lang w:val="en-US" w:eastAsia="zh-CN"/>
              </w:rPr>
            </w:pPr>
            <w:r>
              <w:rPr>
                <w:rFonts w:eastAsia="仿宋_GB2312" w:cs="仿宋_GB2312" w:ascii="仿宋_GB2312" w:hAnsi="仿宋_GB2312"/>
                <w:kern w:val="0"/>
                <w:sz w:val="36"/>
                <w:szCs w:val="36"/>
                <w:lang w:val="en-US" w:eastAsia="zh-CN"/>
              </w:rPr>
            </w:r>
          </w:p>
        </w:tc>
        <w:tc>
          <w:tcPr>
            <w:tcW w:w="3449" w:type="dxa"/>
            <w:tcBorders/>
            <w:vAlign w:val="bottom"/>
          </w:tcPr>
          <w:p>
            <w:pPr>
              <w:pStyle w:val="Style14"/>
              <w:widowControl w:val="false"/>
              <w:spacing w:beforeLines="0" w:beforeAutospacing="0" w:after="200" w:afterAutospacing="0"/>
              <w:jc w:val="center"/>
              <w:rPr>
                <w:rFonts w:ascii="仿宋_GB2312" w:hAnsi="仿宋_GB2312" w:eastAsia="仿宋_GB2312" w:cs="仿宋_GB2312"/>
                <w:sz w:val="36"/>
                <w:szCs w:val="36"/>
                <w:lang w:val="en-US" w:eastAsia="zh-CN"/>
              </w:rPr>
            </w:pPr>
            <w:r>
              <w:rPr>
                <w:rFonts w:eastAsia="仿宋_GB2312" w:cs="仿宋_GB2312" w:ascii="仿宋_GB2312" w:hAnsi="仿宋_GB2312"/>
                <w:kern w:val="0"/>
                <w:sz w:val="36"/>
                <w:szCs w:val="36"/>
                <w:lang w:val="en-US" w:eastAsia="zh-CN"/>
              </w:rPr>
            </w:r>
          </w:p>
        </w:tc>
      </w:tr>
    </w:tbl>
    <w:p>
      <w:pPr>
        <w:pStyle w:val="Style14"/>
        <w:keepNext w:val="false"/>
        <w:keepLines w:val="false"/>
        <w:pageBreakBefore w:val="false"/>
        <w:widowControl/>
        <w:kinsoku w:val="true"/>
        <w:overflowPunct w:val="true"/>
        <w:bidi w:val="0"/>
        <w:snapToGrid w:val="false"/>
        <w:spacing w:lineRule="auto" w:line="240"/>
        <w:textAlignment w:val="auto"/>
        <w:rPr>
          <w:rFonts w:ascii="仿宋_GB2312" w:hAnsi="仿宋_GB2312" w:eastAsia="仿宋_GB2312" w:cs="仿宋_GB2312"/>
          <w:sz w:val="36"/>
          <w:szCs w:val="36"/>
          <w:u w:val="single"/>
        </w:rPr>
      </w:pPr>
      <w:r>
        <w:rPr>
          <w:rFonts w:eastAsia="仿宋_GB2312" w:cs="仿宋_GB2312" w:ascii="仿宋_GB2312" w:hAnsi="仿宋_GB2312"/>
          <w:sz w:val="36"/>
          <w:szCs w:val="36"/>
          <w:u w:val="single"/>
        </w:rPr>
      </w:r>
    </w:p>
    <w:p>
      <w:pPr>
        <w:pStyle w:val="Style14"/>
        <w:keepNext w:val="false"/>
        <w:keepLines w:val="false"/>
        <w:pageBreakBefore w:val="false"/>
        <w:widowControl/>
        <w:kinsoku w:val="true"/>
        <w:overflowPunct w:val="true"/>
        <w:bidi w:val="0"/>
        <w:snapToGrid w:val="false"/>
        <w:spacing w:lineRule="auto" w:line="240"/>
        <w:ind w:firstLine="270"/>
        <w:textAlignment w:val="auto"/>
        <w:rPr>
          <w:rFonts w:ascii="仿宋_GB2312" w:hAnsi="仿宋_GB2312" w:eastAsia="仿宋_GB2312" w:cs="仿宋_GB2312"/>
          <w:sz w:val="36"/>
          <w:szCs w:val="36"/>
          <w:u w:val="single"/>
          <w:lang w:val="en-US" w:eastAsia="zh-CN" w:bidi="ar-SA"/>
        </w:rPr>
      </w:pPr>
      <w:r>
        <w:rPr>
          <w:rFonts w:ascii="仿宋_GB2312" w:hAnsi="仿宋_GB2312" w:cs="仿宋_GB2312" w:eastAsia="仿宋_GB2312"/>
          <w:sz w:val="36"/>
          <w:szCs w:val="36"/>
          <w:u w:val="single"/>
          <w:lang w:val="en-US" w:eastAsia="zh-CN" w:bidi="ar-SA"/>
        </w:rPr>
        <w:t>填写说明：分成比例为百分比数值，如报价为</w:t>
      </w:r>
      <w:r>
        <w:rPr>
          <w:rFonts w:eastAsia="仿宋_GB2312" w:cs="仿宋_GB2312" w:ascii="仿宋_GB2312" w:hAnsi="仿宋_GB2312"/>
          <w:sz w:val="36"/>
          <w:szCs w:val="36"/>
          <w:u w:val="single"/>
          <w:lang w:val="en-US" w:eastAsia="zh-CN" w:bidi="ar-SA"/>
        </w:rPr>
        <w:t>12%</w:t>
      </w:r>
      <w:r>
        <w:rPr>
          <w:rFonts w:ascii="仿宋_GB2312" w:hAnsi="仿宋_GB2312" w:cs="仿宋_GB2312" w:eastAsia="仿宋_GB2312"/>
          <w:sz w:val="36"/>
          <w:szCs w:val="36"/>
          <w:u w:val="single"/>
          <w:lang w:val="en-US" w:eastAsia="zh-CN" w:bidi="ar-SA"/>
        </w:rPr>
        <w:t>，则填写</w:t>
      </w:r>
      <w:r>
        <w:rPr>
          <w:rFonts w:eastAsia="仿宋_GB2312" w:cs="仿宋_GB2312" w:ascii="仿宋_GB2312" w:hAnsi="仿宋_GB2312"/>
          <w:sz w:val="36"/>
          <w:szCs w:val="36"/>
          <w:u w:val="single"/>
          <w:lang w:val="en-US" w:eastAsia="zh-CN" w:bidi="ar-SA"/>
        </w:rPr>
        <w:t>12</w:t>
      </w:r>
      <w:r>
        <w:rPr>
          <w:rFonts w:ascii="仿宋_GB2312" w:hAnsi="仿宋_GB2312" w:cs="仿宋_GB2312" w:eastAsia="仿宋_GB2312"/>
          <w:spacing w:val="-34"/>
          <w:sz w:val="36"/>
          <w:szCs w:val="36"/>
          <w:u w:val="single"/>
          <w:lang w:val="en-US" w:eastAsia="zh-CN" w:bidi="ar-SA"/>
        </w:rPr>
        <w:t>。</w:t>
      </w:r>
    </w:p>
    <w:p>
      <w:pPr>
        <w:pStyle w:val="Style14"/>
        <w:keepNext w:val="false"/>
        <w:keepLines w:val="false"/>
        <w:pageBreakBefore w:val="false"/>
        <w:widowControl/>
        <w:kinsoku w:val="true"/>
        <w:overflowPunct w:val="true"/>
        <w:bidi w:val="0"/>
        <w:snapToGrid w:val="false"/>
        <w:spacing w:lineRule="auto" w:line="240"/>
        <w:ind/>
        <w:textAlignment w:val="auto"/>
        <w:rPr>
          <w:rFonts w:ascii="仿宋_GB2312" w:hAnsi="仿宋_GB2312" w:eastAsia="仿宋_GB2312" w:cs="仿宋_GB2312"/>
          <w:sz w:val="36"/>
          <w:szCs w:val="36"/>
          <w:u w:val="single"/>
        </w:rPr>
      </w:pPr>
      <w:r>
        <w:rPr>
          <w:rFonts w:eastAsia="仿宋_GB2312" w:cs="仿宋_GB2312" w:ascii="仿宋_GB2312" w:hAnsi="仿宋_GB2312"/>
          <w:sz w:val="36"/>
          <w:szCs w:val="36"/>
          <w:u w:val="single"/>
        </w:rPr>
      </w:r>
    </w:p>
    <w:p>
      <w:pPr>
        <w:pStyle w:val="Style14"/>
        <w:keepNext w:val="false"/>
        <w:keepLines w:val="false"/>
        <w:pageBreakBefore w:val="false"/>
        <w:widowControl/>
        <w:kinsoku w:val="true"/>
        <w:overflowPunct w:val="true"/>
        <w:bidi w:val="0"/>
        <w:snapToGrid w:val="false"/>
        <w:spacing w:lineRule="auto" w:line="240"/>
        <w:ind w:firstLine="270"/>
        <w:textAlignment w:val="auto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ascii="仿宋_GB2312" w:hAnsi="仿宋_GB2312" w:cs="仿宋_GB2312" w:eastAsia="仿宋_GB2312"/>
          <w:sz w:val="36"/>
          <w:szCs w:val="36"/>
        </w:rPr>
        <w:t xml:space="preserve">                  </w:t>
      </w:r>
    </w:p>
    <w:p>
      <w:pPr>
        <w:pStyle w:val="Style14"/>
        <w:keepNext w:val="false"/>
        <w:keepLines w:val="false"/>
        <w:pageBreakBefore w:val="false"/>
        <w:widowControl/>
        <w:kinsoku w:val="true"/>
        <w:overflowPunct w:val="true"/>
        <w:bidi w:val="0"/>
        <w:snapToGrid w:val="false"/>
        <w:spacing w:lineRule="auto" w:line="240"/>
        <w:ind w:firstLineChars="900" w:firstLine="0"/>
        <w:jc w:val="both"/>
        <w:textAlignment w:val="auto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ascii="仿宋_GB2312" w:hAnsi="仿宋_GB2312" w:cs="仿宋_GB2312" w:eastAsia="仿宋_GB2312"/>
          <w:sz w:val="36"/>
          <w:szCs w:val="36"/>
        </w:rPr>
        <w:t>确定签名：</w:t>
      </w:r>
    </w:p>
    <w:p>
      <w:pPr>
        <w:pStyle w:val="Style14"/>
        <w:keepNext w:val="false"/>
        <w:keepLines w:val="false"/>
        <w:pageBreakBefore w:val="false"/>
        <w:widowControl/>
        <w:kinsoku w:val="true"/>
        <w:overflowPunct w:val="true"/>
        <w:bidi w:val="0"/>
        <w:snapToGrid w:val="false"/>
        <w:spacing w:lineRule="auto" w:line="240"/>
        <w:ind w:firstLineChars="900" w:firstLine="0"/>
        <w:jc w:val="both"/>
        <w:textAlignment w:val="auto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ascii="仿宋_GB2312" w:hAnsi="仿宋_GB2312" w:cs="仿宋_GB2312" w:eastAsia="仿宋_GB2312"/>
          <w:sz w:val="36"/>
          <w:szCs w:val="36"/>
        </w:rPr>
        <w:t>投标时间：</w:t>
      </w:r>
      <w:r>
        <w:rPr>
          <w:rFonts w:ascii="仿宋_GB2312" w:hAnsi="仿宋_GB2312" w:cs="仿宋_GB2312" w:eastAsia="仿宋_GB2312"/>
          <w:sz w:val="36"/>
          <w:szCs w:val="36"/>
          <w:lang w:val="en-US" w:eastAsia="zh-CN"/>
        </w:rPr>
        <w:t xml:space="preserve">   </w:t>
      </w:r>
      <w:r>
        <w:rPr>
          <w:rFonts w:ascii="仿宋_GB2312" w:hAnsi="仿宋_GB2312" w:cs="仿宋_GB2312" w:eastAsia="仿宋_GB2312"/>
          <w:sz w:val="36"/>
          <w:szCs w:val="36"/>
        </w:rPr>
        <w:t xml:space="preserve">年   月  </w:t>
      </w:r>
      <w:r>
        <w:rPr>
          <w:rFonts w:ascii="仿宋_GB2312" w:hAnsi="仿宋_GB2312" w:cs="仿宋_GB2312" w:eastAsia="仿宋_GB2312"/>
          <w:sz w:val="36"/>
          <w:szCs w:val="36"/>
          <w:lang w:val="en-US" w:eastAsia="zh-CN"/>
        </w:rPr>
        <w:t xml:space="preserve"> </w:t>
      </w:r>
      <w:r>
        <w:rPr>
          <w:rFonts w:ascii="仿宋_GB2312" w:hAnsi="仿宋_GB2312" w:cs="仿宋_GB2312" w:eastAsia="仿宋_GB2312"/>
          <w:sz w:val="36"/>
          <w:szCs w:val="36"/>
        </w:rPr>
        <w:t>日</w:t>
      </w:r>
    </w:p>
    <w:p>
      <w:pPr>
        <w:pStyle w:val="Style14"/>
        <w:keepNext w:val="false"/>
        <w:keepLines w:val="false"/>
        <w:pageBreakBefore w:val="false"/>
        <w:widowControl/>
        <w:kinsoku w:val="true"/>
        <w:overflowPunct w:val="true"/>
        <w:bidi w:val="0"/>
        <w:snapToGrid w:val="false"/>
        <w:spacing w:lineRule="auto" w:line="240" w:beforeLines="0" w:beforeAutospacing="0" w:after="200" w:afterAutospacing="0"/>
        <w:ind w:firstLineChars="900" w:firstLine="0"/>
        <w:jc w:val="both"/>
        <w:textAlignment w:val="auto"/>
        <w:rPr>
          <w:rFonts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ascii="仿宋_GB2312" w:hAnsi="仿宋_GB2312" w:cs="仿宋_GB2312" w:eastAsia="仿宋_GB2312"/>
          <w:sz w:val="36"/>
          <w:szCs w:val="36"/>
        </w:rPr>
        <w:t>投标地</w:t>
      </w:r>
      <w:r>
        <w:rPr>
          <w:rFonts w:ascii="仿宋_GB2312" w:hAnsi="仿宋_GB2312" w:cs="仿宋_GB2312" w:eastAsia="仿宋_GB2312"/>
          <w:sz w:val="36"/>
          <w:szCs w:val="36"/>
          <w:lang w:val="en-US" w:eastAsia="zh-CN"/>
        </w:rPr>
        <w:t>点：</w:t>
      </w:r>
      <w:r>
        <w:rPr>
          <w:rFonts w:ascii="仿宋_GB2312" w:hAnsi="仿宋_GB2312" w:cs="仿宋_GB2312" w:eastAsia="仿宋_GB2312"/>
          <w:sz w:val="36"/>
          <w:szCs w:val="36"/>
        </w:rPr>
        <w:t>发展公司二楼会议</w:t>
      </w:r>
      <w:r>
        <w:rPr>
          <w:rFonts w:ascii="仿宋_GB2312" w:hAnsi="仿宋_GB2312" w:cs="仿宋_GB2312" w:eastAsia="仿宋_GB2312"/>
          <w:sz w:val="36"/>
          <w:szCs w:val="36"/>
          <w:lang w:val="en-US" w:eastAsia="zh-CN"/>
        </w:rPr>
        <w:t>室</w:t>
      </w:r>
    </w:p>
    <w:sectPr>
      <w:type w:val="nextPage"/>
      <w:pgSz w:w="11906" w:h="16838"/>
      <w:pgMar w:left="1800" w:right="1800" w:header="0" w:top="1440" w:footer="0" w:bottom="1440" w:gutter="0"/>
      <w:pgNumType w:fmt="decimal"/>
      <w:formProt w:val="false"/>
      <w:textDirection w:val="lrTb"/>
      <w:docGrid w:type="default" w:linePitch="360" w:charSpace="4505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86"/>
    <w:family w:val="roman"/>
    <w:pitch w:val="variable"/>
  </w:font>
  <w:font w:name="Tahoma">
    <w:charset w:val="86"/>
    <w:family w:val="roman"/>
    <w:pitch w:val="variable"/>
  </w:font>
  <w:font w:name="宋体">
    <w:charset w:val="86"/>
    <w:family w:val="roman"/>
    <w:pitch w:val="variable"/>
  </w:font>
  <w:font w:name="仿宋_GB2312">
    <w:charset w:val="86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doNotExpandShiftReturn/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微软雅黑" w:cs="" w:asciiTheme="minorHAnsi" w:cstheme="minorBidi" w:hAnsiTheme="minorHAnsi"/>
        <w:lang w:val="en-US" w:eastAsia="zh-CN" w:bidi="hi-IN"/>
      </w:rPr>
    </w:rPrDefault>
    <w:pPrDefault>
      <w:pPr>
        <w:suppressAutoHyphens w:val="fals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qFormat="1"/>
    <w:lsdException w:name="footer" w:uiPriority="99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59" w:semiHidden="0" w:unhideWhenUsed="0"/>
    <w:lsdException w:name="Table Theme" w:uiPriority="99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Style14" w:default="1">
    <w:name w:val="正文"/>
    <w:autoRedefine/>
    <w:uiPriority w:val="0"/>
    <w:qFormat/>
    <w:pPr>
      <w:widowControl/>
      <w:bidi w:val="0"/>
      <w:snapToGrid w:val="false"/>
      <w:spacing w:beforeLines="0" w:beforeAutospacing="0" w:after="200" w:afterAutospacing="0"/>
      <w:jc w:val="left"/>
    </w:pPr>
    <w:rPr>
      <w:rFonts w:ascii="Tahoma" w:hAnsi="Tahoma" w:eastAsia="微软雅黑" w:cs="" w:cstheme="minorBidi"/>
      <w:color w:val="auto"/>
      <w:kern w:val="0"/>
      <w:sz w:val="22"/>
      <w:szCs w:val="22"/>
      <w:lang w:val="en-US" w:eastAsia="zh-CN" w:bidi="ar-SA"/>
    </w:rPr>
  </w:style>
  <w:style w:type="table" w:default="1" w:styleId="4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59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LanShanOffice/1.4.1.10907$Windows_X86_64 LibreOffice_project/9c1eafdd6df65fffc15a828d5a9fd7d92823ade4</Application>
  <AppVersion>15.0000</AppVersion>
  <Pages>1</Pages>
  <Words>208</Words>
  <Characters>213</Characters>
  <CharactersWithSpaces>277</CharactersWithSpaces>
  <Paragraphs>13</Paragraphs>
  <Company>CHINA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dc:description/>
  <dc:language>zh-CN</dc:language>
  <cp:lastModifiedBy/>
  <cp:lastPrinted>2024-08-07T07:24:07Z</cp:lastPrinted>
  <dcterms:modified xsi:type="dcterms:W3CDTF">2024-08-09T21:50:28Z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594049958F4D40BD971FFB39AC4AF828_13</vt:lpwstr>
  </property>
  <property fmtid="{D5CDD505-2E9C-101B-9397-08002B2CF9AE}" pid="3" name="KSOProductBuildVer">
    <vt:lpwstr>2052-12.1.0.17827</vt:lpwstr>
  </property>
</Properties>
</file>